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D9" w:rsidRDefault="00B036C0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313131"/>
        </w:rPr>
        <w:t>TÜRK HAVA KURUMU ÜNİVERSİTESİ’NDE</w:t>
      </w:r>
    </w:p>
    <w:p w:rsidR="00C349D9" w:rsidRDefault="00C349D9">
      <w:pPr>
        <w:spacing w:line="242" w:lineRule="exact"/>
        <w:rPr>
          <w:sz w:val="24"/>
          <w:szCs w:val="24"/>
        </w:rPr>
      </w:pPr>
    </w:p>
    <w:p w:rsidR="00C349D9" w:rsidRDefault="00B036C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KİŞİSEL VERİLERİN İŞLENMESİNE İLİŞKİN AYDINLATMA VE AÇIK RIZA METNİ</w:t>
      </w:r>
    </w:p>
    <w:p w:rsidR="00C349D9" w:rsidRDefault="00C349D9">
      <w:pPr>
        <w:spacing w:line="247" w:lineRule="exact"/>
        <w:rPr>
          <w:sz w:val="24"/>
          <w:szCs w:val="24"/>
        </w:rPr>
      </w:pPr>
    </w:p>
    <w:p w:rsidR="00C349D9" w:rsidRDefault="00B036C0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>Türk Hava Kurumu Üniversitesi paydaşlarına ait çeşitli kişisel veriler 6698 sayılı Kişisel Verilerin Korunması Kanunu’na (KVK Kanunu</w:t>
      </w:r>
      <w:r>
        <w:rPr>
          <w:rFonts w:ascii="Arial" w:eastAsia="Arial" w:hAnsi="Arial" w:cs="Arial"/>
          <w:color w:val="313131"/>
        </w:rPr>
        <w:t>) uygun olarak, veri sorumlusu sıfatıyla Yüksek Öğretim Kanunu çerçevesinde faaliyet gösteren Türk Hava Kurumu (THK) Üniversitesi tarafından işlenmektedir. Kişisel verilerin işleme amacı, şekli ve aktarım durumu aşağıda açıklanmıştır.</w:t>
      </w:r>
    </w:p>
    <w:p w:rsidR="00C349D9" w:rsidRDefault="00C349D9">
      <w:pPr>
        <w:spacing w:line="241" w:lineRule="exact"/>
        <w:rPr>
          <w:sz w:val="24"/>
          <w:szCs w:val="24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Kişisel verilerinizi</w:t>
      </w:r>
      <w:r>
        <w:rPr>
          <w:rFonts w:ascii="Arial" w:eastAsia="Arial" w:hAnsi="Arial" w:cs="Arial"/>
          <w:b/>
          <w:bCs/>
          <w:color w:val="313131"/>
        </w:rPr>
        <w:t>n işlenme amacı:</w:t>
      </w:r>
    </w:p>
    <w:p w:rsidR="00C349D9" w:rsidRDefault="00C349D9">
      <w:pPr>
        <w:spacing w:line="247" w:lineRule="exact"/>
        <w:rPr>
          <w:sz w:val="24"/>
          <w:szCs w:val="24"/>
        </w:rPr>
      </w:pPr>
    </w:p>
    <w:p w:rsidR="00C349D9" w:rsidRDefault="00B036C0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>Yükseköğrenim kurumu olan THK Üniversitesi, temel olarak eğitim, öğretim ve bilimsel araştırma faaliyetleri paralelinde faaliyet amaçlarına uygun olarak kişisel verileri toplamakta ve işleme tabi tutmaktadır. Kişisel verilerin işlenmesind</w:t>
      </w:r>
      <w:r>
        <w:rPr>
          <w:rFonts w:ascii="Arial" w:eastAsia="Arial" w:hAnsi="Arial" w:cs="Arial"/>
          <w:color w:val="313131"/>
        </w:rPr>
        <w:t>e, anayasada öngörülen kişisel hak ve özgürlükler, kişisel mahremiyet, kanunlara uyum, bireysel değerlere/tercihlere saygı ve gerekli hallerde kişi rızasına tabi şekilde kişinin faydası gözetilerek KVKK madde 5 ve 6’da belirtilen şartlara uyum sağlanır.</w:t>
      </w:r>
    </w:p>
    <w:p w:rsidR="00C349D9" w:rsidRDefault="00C349D9">
      <w:pPr>
        <w:spacing w:line="243" w:lineRule="exact"/>
        <w:rPr>
          <w:sz w:val="24"/>
          <w:szCs w:val="24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>B</w:t>
      </w:r>
      <w:r>
        <w:rPr>
          <w:rFonts w:ascii="Arial" w:eastAsia="Arial" w:hAnsi="Arial" w:cs="Arial"/>
          <w:color w:val="313131"/>
        </w:rPr>
        <w:t>u kapsamda;</w:t>
      </w:r>
    </w:p>
    <w:p w:rsidR="00C349D9" w:rsidRDefault="00C349D9">
      <w:pPr>
        <w:spacing w:line="250" w:lineRule="exact"/>
        <w:rPr>
          <w:sz w:val="24"/>
          <w:szCs w:val="24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207" w:lineRule="auto"/>
        <w:ind w:firstLine="276"/>
        <w:jc w:val="both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Eğitim, öğretim faaliyetlerinin sürdürülebilmesi, ölçme değerlendirme ve başarı takibi yapılabilmesi, YÖK gereği tutulması gereken kayıtların saklanması amacıyla THK Üniversitesi idari ve akademik birimleri, görevlendirdikleri idari çalışanlar</w:t>
      </w:r>
      <w:r>
        <w:rPr>
          <w:rFonts w:ascii="Arial" w:eastAsia="Arial" w:hAnsi="Arial" w:cs="Arial"/>
          <w:color w:val="313131"/>
        </w:rPr>
        <w:t xml:space="preserve"> ve öğretim elemanları kişisel veri toplar ve işleme tabi tutar.</w:t>
      </w:r>
    </w:p>
    <w:p w:rsidR="00C349D9" w:rsidRDefault="00C349D9">
      <w:pPr>
        <w:spacing w:line="250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83" w:lineRule="auto"/>
        <w:ind w:right="20" w:firstLine="276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THK Üniversitesi, idari, akademik çalışanları ve hizmet veren alt yüklenici firma çalışanları hakkında THK Üniversitesi faaliyet amaçları paralelinde kişisel veriler toplanır ve işlenir.</w:t>
      </w:r>
    </w:p>
    <w:p w:rsidR="00C349D9" w:rsidRDefault="00C349D9">
      <w:pPr>
        <w:spacing w:line="248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83" w:lineRule="auto"/>
        <w:ind w:right="20" w:firstLine="276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TH</w:t>
      </w:r>
      <w:r>
        <w:rPr>
          <w:rFonts w:ascii="Arial" w:eastAsia="Arial" w:hAnsi="Arial" w:cs="Arial"/>
          <w:color w:val="313131"/>
        </w:rPr>
        <w:t>K Üniversitesi yerleşkelerine gelen kısa süreli ziyaretçiler hakkında güvenlik gerekçeleri ile kişisel veriler işlenir.</w:t>
      </w:r>
    </w:p>
    <w:p w:rsidR="00C349D9" w:rsidRDefault="00C349D9">
      <w:pPr>
        <w:spacing w:line="248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98" w:lineRule="auto"/>
        <w:ind w:firstLine="276"/>
        <w:jc w:val="both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 xml:space="preserve">THK Üniversitesi yerleşkelerinde eğitim alan THK Üniversitesi öğrencilerinden, kendilerine sağlık ile ilgili acil, tedavi edici ve </w:t>
      </w:r>
      <w:r>
        <w:rPr>
          <w:rFonts w:ascii="Arial" w:eastAsia="Arial" w:hAnsi="Arial" w:cs="Arial"/>
          <w:color w:val="313131"/>
        </w:rPr>
        <w:t>koruyucu hekimlik hizmeti sunabilmek amacıyla kişisel veriler toplanır ve işlenir.</w:t>
      </w:r>
    </w:p>
    <w:p w:rsidR="00C349D9" w:rsidRDefault="00C349D9">
      <w:pPr>
        <w:spacing w:line="251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98" w:lineRule="auto"/>
        <w:ind w:firstLine="276"/>
        <w:jc w:val="both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 xml:space="preserve">THK Üniversitesi toplumsal etkileşim ve gelişim sağlamak amacıyla düzenlenen her türlü etkinlik, kurs, gelişim programı, sergi, konferans, çalıştay, toplantı katılımcıları </w:t>
      </w:r>
      <w:r>
        <w:rPr>
          <w:rFonts w:ascii="Arial" w:eastAsia="Arial" w:hAnsi="Arial" w:cs="Arial"/>
          <w:color w:val="313131"/>
        </w:rPr>
        <w:t>hakkında kişisel veriler işlenir.</w:t>
      </w:r>
    </w:p>
    <w:p w:rsidR="00C349D9" w:rsidRDefault="00C349D9">
      <w:pPr>
        <w:spacing w:line="253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82" w:lineRule="auto"/>
        <w:ind w:right="20" w:firstLine="276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Kariyer planlaması için mezunlara destek olmak, mezun başarısını izlemek, mezunlar ağı oluşturmak amacıyla THK Üniversitesi mezunları hakkında, kişisel veriler işlenir.</w:t>
      </w:r>
    </w:p>
    <w:p w:rsidR="00C349D9" w:rsidRDefault="00C349D9">
      <w:pPr>
        <w:spacing w:line="249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1"/>
        </w:numPr>
        <w:tabs>
          <w:tab w:val="left" w:pos="567"/>
        </w:tabs>
        <w:spacing w:line="183" w:lineRule="auto"/>
        <w:ind w:firstLine="276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THK Üniversitesi’nin faaliyet alanlarındaki tanıtım</w:t>
      </w:r>
      <w:r>
        <w:rPr>
          <w:rFonts w:ascii="Arial" w:eastAsia="Arial" w:hAnsi="Arial" w:cs="Arial"/>
          <w:color w:val="313131"/>
        </w:rPr>
        <w:t>ını yapmak ve uygun aday öğrenci, çalışan, öğretim elemanlarına ulaşabilmek amacıyla ilgili kişilerin rızası alınarak kişisel veriler işlenir.</w:t>
      </w:r>
    </w:p>
    <w:p w:rsidR="00C349D9" w:rsidRDefault="00C349D9">
      <w:pPr>
        <w:spacing w:line="240" w:lineRule="exact"/>
        <w:rPr>
          <w:sz w:val="24"/>
          <w:szCs w:val="24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Kişisel Verilerinizin Aktarımı:</w:t>
      </w:r>
    </w:p>
    <w:p w:rsidR="00C349D9" w:rsidRDefault="00C349D9">
      <w:pPr>
        <w:spacing w:line="250" w:lineRule="exact"/>
        <w:rPr>
          <w:sz w:val="24"/>
          <w:szCs w:val="24"/>
        </w:rPr>
      </w:pPr>
    </w:p>
    <w:p w:rsidR="00C349D9" w:rsidRDefault="00B036C0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>THK Üniversitesi, eğitim, öğretim ve bilimsel araştırma hedefleri paralelinde K</w:t>
      </w:r>
      <w:r>
        <w:rPr>
          <w:rFonts w:ascii="Arial" w:eastAsia="Arial" w:hAnsi="Arial" w:cs="Arial"/>
          <w:color w:val="313131"/>
        </w:rPr>
        <w:t>VK Kanunu 8. ve 9. maddelerinde belirtildiği şekliyle, aşağıdaki amaçlarla kişisel verilerinizi paylaşabilir;</w:t>
      </w:r>
    </w:p>
    <w:p w:rsidR="00C349D9" w:rsidRDefault="00C349D9">
      <w:pPr>
        <w:spacing w:line="249" w:lineRule="exact"/>
        <w:rPr>
          <w:sz w:val="24"/>
          <w:szCs w:val="24"/>
        </w:rPr>
      </w:pPr>
    </w:p>
    <w:p w:rsidR="00C349D9" w:rsidRDefault="00B036C0">
      <w:pPr>
        <w:numPr>
          <w:ilvl w:val="0"/>
          <w:numId w:val="2"/>
        </w:numPr>
        <w:tabs>
          <w:tab w:val="left" w:pos="567"/>
        </w:tabs>
        <w:spacing w:line="208" w:lineRule="auto"/>
        <w:ind w:firstLine="276"/>
        <w:jc w:val="both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t>THK Üniversitesi bünyesinde sürekli veya geçici olarak hizmet veren alt yüklenici firmalar ile üçüncü şahıslarla akdedilen sözleşmeler çerçevesin</w:t>
      </w:r>
      <w:r>
        <w:rPr>
          <w:rFonts w:ascii="Arial" w:eastAsia="Arial" w:hAnsi="Arial" w:cs="Arial"/>
          <w:color w:val="313131"/>
        </w:rPr>
        <w:t>de işin gerektirdiği oranda ve sürede kişisel bilgi paylaşımı yapılabilir. Kişisel verilerin paylaşımında kişilerin hakları gözetilerek ticari ve hukuksal emniyeti sağlamak suretiyle sözleşmeler akdedilir.</w:t>
      </w:r>
    </w:p>
    <w:p w:rsidR="00C349D9" w:rsidRDefault="00C349D9">
      <w:pPr>
        <w:spacing w:line="248" w:lineRule="exact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</w:p>
    <w:p w:rsidR="00C349D9" w:rsidRDefault="00B036C0">
      <w:pPr>
        <w:numPr>
          <w:ilvl w:val="0"/>
          <w:numId w:val="2"/>
        </w:numPr>
        <w:tabs>
          <w:tab w:val="left" w:pos="567"/>
        </w:tabs>
        <w:spacing w:line="198" w:lineRule="auto"/>
        <w:ind w:firstLine="276"/>
        <w:jc w:val="both"/>
        <w:rPr>
          <w:rFonts w:ascii="MS PGothic" w:eastAsia="MS PGothic" w:hAnsi="MS PGothic" w:cs="MS PGothic"/>
          <w:color w:val="31313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13131"/>
        </w:rPr>
        <w:lastRenderedPageBreak/>
        <w:t xml:space="preserve">THK Üniversitesi, hedefleri paralelinde yurt </w:t>
      </w:r>
      <w:r>
        <w:rPr>
          <w:rFonts w:ascii="Arial" w:eastAsia="Arial" w:hAnsi="Arial" w:cs="Arial"/>
          <w:color w:val="313131"/>
        </w:rPr>
        <w:t>dışında faaliyet gösteren benzer kurumlar ile geliştirilen eğitim ve araştırma amaçlı iş birlikleri, eğitim programları, personel değişimleri, yabancı ülke menşeli çalışanların ülkeleri ve ülke temsilcilikleri, ortak etkinlikler vb. kapsamında üniversite</w:t>
      </w:r>
    </w:p>
    <w:p w:rsidR="00C349D9" w:rsidRDefault="00C349D9">
      <w:pPr>
        <w:sectPr w:rsidR="00C349D9">
          <w:pgSz w:w="11900" w:h="16838"/>
          <w:pgMar w:top="1132" w:right="1126" w:bottom="929" w:left="1140" w:header="0" w:footer="0" w:gutter="0"/>
          <w:cols w:space="708" w:equalWidth="0">
            <w:col w:w="9640"/>
          </w:cols>
        </w:sectPr>
      </w:pPr>
    </w:p>
    <w:p w:rsidR="00C349D9" w:rsidRDefault="00B036C0">
      <w:pPr>
        <w:spacing w:line="236" w:lineRule="auto"/>
        <w:ind w:right="2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color w:val="313131"/>
        </w:rPr>
        <w:lastRenderedPageBreak/>
        <w:t>paydaşlarına ait kişisel veriler, gerekli durumlarda kişilerin rızası alınarak, olması gerektiği kadar ve ihtiyaç süresince paylaşılabilir.</w:t>
      </w:r>
    </w:p>
    <w:p w:rsidR="00C349D9" w:rsidRDefault="00C349D9">
      <w:pPr>
        <w:spacing w:line="241" w:lineRule="exact"/>
        <w:rPr>
          <w:sz w:val="20"/>
          <w:szCs w:val="20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Kişisel verilerinizin toplanma yöntemi:</w:t>
      </w:r>
    </w:p>
    <w:p w:rsidR="00C349D9" w:rsidRDefault="00C349D9">
      <w:pPr>
        <w:spacing w:line="250" w:lineRule="exact"/>
        <w:rPr>
          <w:sz w:val="20"/>
          <w:szCs w:val="20"/>
        </w:rPr>
      </w:pPr>
    </w:p>
    <w:p w:rsidR="00C349D9" w:rsidRDefault="00B036C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 xml:space="preserve">Kişisel verileriniz; kurumsal internet sitelerimiz </w:t>
      </w:r>
      <w:r>
        <w:rPr>
          <w:rFonts w:ascii="Arial" w:eastAsia="Arial" w:hAnsi="Arial" w:cs="Arial"/>
          <w:color w:val="313131"/>
        </w:rPr>
        <w:t>kanalıyla, e-posta veya diğer yollarla ya da çeşitli akademik veya idari amaçlı başvurular sırasında, yazılı veya elektronik ortamda olmak kaydıyla çeşitli yöntemlerle toplanmaktadır.</w:t>
      </w:r>
    </w:p>
    <w:p w:rsidR="00C349D9" w:rsidRDefault="00C349D9">
      <w:pPr>
        <w:spacing w:line="241" w:lineRule="exact"/>
        <w:rPr>
          <w:sz w:val="20"/>
          <w:szCs w:val="20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Veri sahibi olarak haklarınız:</w:t>
      </w:r>
    </w:p>
    <w:p w:rsidR="00C349D9" w:rsidRDefault="00C349D9">
      <w:pPr>
        <w:spacing w:line="247" w:lineRule="exact"/>
        <w:rPr>
          <w:sz w:val="20"/>
          <w:szCs w:val="20"/>
        </w:rPr>
      </w:pPr>
    </w:p>
    <w:p w:rsidR="00C349D9" w:rsidRDefault="00B036C0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13131"/>
          <w:sz w:val="21"/>
          <w:szCs w:val="21"/>
        </w:rPr>
        <w:t>KVK Kanunu 11. Madde’de veri sahiplerin</w:t>
      </w:r>
      <w:r>
        <w:rPr>
          <w:rFonts w:ascii="Arial" w:eastAsia="Arial" w:hAnsi="Arial" w:cs="Arial"/>
          <w:color w:val="313131"/>
          <w:sz w:val="21"/>
          <w:szCs w:val="21"/>
        </w:rPr>
        <w:t xml:space="preserve">in kendilerine ait bilgiler üzerindeki hakları tanımlanmıştır. Bu kapsamda THK Üniversitesi bünyesinde bilgisi işlem gören gerçek kişiler; kişisel verisi işlenip işlenmediği, işlenen kişisel veri içeriğini ve işlenme amacını, yurt içi veya dışına paylaşım </w:t>
      </w:r>
      <w:r>
        <w:rPr>
          <w:rFonts w:ascii="Arial" w:eastAsia="Arial" w:hAnsi="Arial" w:cs="Arial"/>
          <w:color w:val="313131"/>
          <w:sz w:val="21"/>
          <w:szCs w:val="21"/>
        </w:rPr>
        <w:t>durumu hakkında bilgi alma, işleme nedeni ortadan kalkmış olan veri için silme ve/veya güncelleme talep etme, kişinin aleyhine neticelendiği düşünülen işlemlerde itiraz etme hakkına sahiptir.</w:t>
      </w:r>
    </w:p>
    <w:p w:rsidR="00C349D9" w:rsidRDefault="00C349D9">
      <w:pPr>
        <w:spacing w:line="229" w:lineRule="exact"/>
        <w:rPr>
          <w:sz w:val="20"/>
          <w:szCs w:val="20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Soru ve talepleriniz için:</w:t>
      </w:r>
    </w:p>
    <w:p w:rsidR="00C349D9" w:rsidRDefault="00C349D9">
      <w:pPr>
        <w:spacing w:line="250" w:lineRule="exact"/>
        <w:rPr>
          <w:sz w:val="20"/>
          <w:szCs w:val="20"/>
        </w:rPr>
      </w:pPr>
    </w:p>
    <w:p w:rsidR="00C349D9" w:rsidRDefault="00B036C0">
      <w:pPr>
        <w:spacing w:line="237" w:lineRule="auto"/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13131"/>
        </w:rPr>
        <w:t>KVK Kanunu kapsamındaki soru ve baş</w:t>
      </w:r>
      <w:r>
        <w:rPr>
          <w:rFonts w:ascii="Arial" w:eastAsia="Arial" w:hAnsi="Arial" w:cs="Arial"/>
          <w:color w:val="313131"/>
        </w:rPr>
        <w:t>vurularınızı, aşağıdaki bağlantıda sunulan “Türk Hava Kurumu Üniversitesi KVK Başvuru Formu”nu doldurarak ve formda belirtilen şekilde yapabilirsiniz. Talebinizin maliyet gerektirmesi durumunda Kişisel Verileri Koruma Kurulu tarafından saptanacak tarifeler</w:t>
      </w:r>
      <w:r>
        <w:rPr>
          <w:rFonts w:ascii="Arial" w:eastAsia="Arial" w:hAnsi="Arial" w:cs="Arial"/>
          <w:color w:val="313131"/>
        </w:rPr>
        <w:t xml:space="preserve"> üzerinden ücret talep edilebilecektir.</w:t>
      </w:r>
    </w:p>
    <w:p w:rsidR="00C349D9" w:rsidRDefault="00C349D9">
      <w:pPr>
        <w:spacing w:line="200" w:lineRule="exact"/>
        <w:rPr>
          <w:sz w:val="20"/>
          <w:szCs w:val="20"/>
        </w:rPr>
      </w:pPr>
    </w:p>
    <w:p w:rsidR="00C349D9" w:rsidRDefault="00C349D9">
      <w:pPr>
        <w:spacing w:line="266" w:lineRule="exact"/>
        <w:rPr>
          <w:sz w:val="20"/>
          <w:szCs w:val="20"/>
        </w:rPr>
      </w:pPr>
    </w:p>
    <w:p w:rsidR="00C349D9" w:rsidRDefault="00B036C0">
      <w:pPr>
        <w:rPr>
          <w:rFonts w:ascii="Arial" w:eastAsia="Arial" w:hAnsi="Arial" w:cs="Arial"/>
          <w:color w:val="0563C1"/>
          <w:u w:val="single"/>
        </w:rPr>
      </w:pPr>
      <w:hyperlink r:id="rId5" w:history="1">
        <w:r w:rsidRPr="00B036C0">
          <w:rPr>
            <w:rStyle w:val="Kpr"/>
            <w:rFonts w:ascii="Arial" w:eastAsia="Arial" w:hAnsi="Arial" w:cs="Arial"/>
          </w:rPr>
          <w:t xml:space="preserve">Türk Hava Kurumu Üniversitesi KVK Başvuru </w:t>
        </w:r>
        <w:proofErr w:type="spellStart"/>
        <w:r w:rsidRPr="00B036C0">
          <w:rPr>
            <w:rStyle w:val="Kpr"/>
            <w:rFonts w:ascii="Arial" w:eastAsia="Arial" w:hAnsi="Arial" w:cs="Arial"/>
          </w:rPr>
          <w:t>Formu’na</w:t>
        </w:r>
        <w:proofErr w:type="spellEnd"/>
        <w:r w:rsidRPr="00B036C0">
          <w:rPr>
            <w:rStyle w:val="Kpr"/>
            <w:rFonts w:ascii="Arial" w:eastAsia="Arial" w:hAnsi="Arial" w:cs="Arial"/>
          </w:rPr>
          <w:t xml:space="preserve"> ulaşmak için tıklayınız.</w:t>
        </w:r>
      </w:hyperlink>
      <w:bookmarkStart w:id="2" w:name="_GoBack"/>
      <w:bookmarkEnd w:id="2"/>
    </w:p>
    <w:p w:rsidR="00C349D9" w:rsidRDefault="00C349D9">
      <w:pPr>
        <w:spacing w:line="200" w:lineRule="exact"/>
        <w:rPr>
          <w:sz w:val="20"/>
          <w:szCs w:val="20"/>
        </w:rPr>
      </w:pPr>
    </w:p>
    <w:p w:rsidR="00C349D9" w:rsidRDefault="00C349D9">
      <w:pPr>
        <w:spacing w:line="200" w:lineRule="exact"/>
        <w:rPr>
          <w:sz w:val="20"/>
          <w:szCs w:val="20"/>
        </w:rPr>
      </w:pPr>
    </w:p>
    <w:p w:rsidR="00C349D9" w:rsidRDefault="00C349D9">
      <w:pPr>
        <w:spacing w:line="334" w:lineRule="exact"/>
        <w:rPr>
          <w:sz w:val="20"/>
          <w:szCs w:val="20"/>
        </w:rPr>
      </w:pPr>
    </w:p>
    <w:p w:rsidR="00C349D9" w:rsidRDefault="00B036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</w:rPr>
        <w:t>KVK Kanunu hakkında daha fazla bilgi için:</w:t>
      </w:r>
    </w:p>
    <w:p w:rsidR="00C349D9" w:rsidRDefault="00C349D9">
      <w:pPr>
        <w:spacing w:line="241" w:lineRule="exact"/>
        <w:rPr>
          <w:sz w:val="20"/>
          <w:szCs w:val="20"/>
        </w:rPr>
      </w:pPr>
    </w:p>
    <w:p w:rsidR="00C349D9" w:rsidRDefault="00B036C0">
      <w:pPr>
        <w:rPr>
          <w:rFonts w:ascii="Arial" w:eastAsia="Arial" w:hAnsi="Arial" w:cs="Arial"/>
          <w:color w:val="0563C1"/>
          <w:u w:val="single"/>
        </w:rPr>
      </w:pPr>
      <w:hyperlink r:id="rId6">
        <w:r>
          <w:rPr>
            <w:rFonts w:ascii="Arial" w:eastAsia="Arial" w:hAnsi="Arial" w:cs="Arial"/>
            <w:color w:val="0563C1"/>
            <w:u w:val="single"/>
          </w:rPr>
          <w:t>http://www.kvkk.gov.tr</w:t>
        </w:r>
      </w:hyperlink>
    </w:p>
    <w:sectPr w:rsidR="00C349D9">
      <w:pgSz w:w="11900" w:h="16838"/>
      <w:pgMar w:top="1140" w:right="1126" w:bottom="1440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134216F6"/>
    <w:lvl w:ilvl="0" w:tplc="626C3B16">
      <w:start w:val="1"/>
      <w:numFmt w:val="bullet"/>
      <w:lvlText w:val="➢"/>
      <w:lvlJc w:val="left"/>
    </w:lvl>
    <w:lvl w:ilvl="1" w:tplc="2172645C">
      <w:numFmt w:val="decimal"/>
      <w:lvlText w:val=""/>
      <w:lvlJc w:val="left"/>
    </w:lvl>
    <w:lvl w:ilvl="2" w:tplc="876A7030">
      <w:numFmt w:val="decimal"/>
      <w:lvlText w:val=""/>
      <w:lvlJc w:val="left"/>
    </w:lvl>
    <w:lvl w:ilvl="3" w:tplc="3A646106">
      <w:numFmt w:val="decimal"/>
      <w:lvlText w:val=""/>
      <w:lvlJc w:val="left"/>
    </w:lvl>
    <w:lvl w:ilvl="4" w:tplc="8D68420E">
      <w:numFmt w:val="decimal"/>
      <w:lvlText w:val=""/>
      <w:lvlJc w:val="left"/>
    </w:lvl>
    <w:lvl w:ilvl="5" w:tplc="712661E2">
      <w:numFmt w:val="decimal"/>
      <w:lvlText w:val=""/>
      <w:lvlJc w:val="left"/>
    </w:lvl>
    <w:lvl w:ilvl="6" w:tplc="7CF409FA">
      <w:numFmt w:val="decimal"/>
      <w:lvlText w:val=""/>
      <w:lvlJc w:val="left"/>
    </w:lvl>
    <w:lvl w:ilvl="7" w:tplc="1242E52A">
      <w:numFmt w:val="decimal"/>
      <w:lvlText w:val=""/>
      <w:lvlJc w:val="left"/>
    </w:lvl>
    <w:lvl w:ilvl="8" w:tplc="2F542EF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722859A"/>
    <w:lvl w:ilvl="0" w:tplc="C824BAA2">
      <w:start w:val="1"/>
      <w:numFmt w:val="bullet"/>
      <w:lvlText w:val="➢"/>
      <w:lvlJc w:val="left"/>
    </w:lvl>
    <w:lvl w:ilvl="1" w:tplc="47028802">
      <w:numFmt w:val="decimal"/>
      <w:lvlText w:val=""/>
      <w:lvlJc w:val="left"/>
    </w:lvl>
    <w:lvl w:ilvl="2" w:tplc="4D9CB852">
      <w:numFmt w:val="decimal"/>
      <w:lvlText w:val=""/>
      <w:lvlJc w:val="left"/>
    </w:lvl>
    <w:lvl w:ilvl="3" w:tplc="A1FCE274">
      <w:numFmt w:val="decimal"/>
      <w:lvlText w:val=""/>
      <w:lvlJc w:val="left"/>
    </w:lvl>
    <w:lvl w:ilvl="4" w:tplc="19AAE3B0">
      <w:numFmt w:val="decimal"/>
      <w:lvlText w:val=""/>
      <w:lvlJc w:val="left"/>
    </w:lvl>
    <w:lvl w:ilvl="5" w:tplc="7BC831B0">
      <w:numFmt w:val="decimal"/>
      <w:lvlText w:val=""/>
      <w:lvlJc w:val="left"/>
    </w:lvl>
    <w:lvl w:ilvl="6" w:tplc="B8AAC6AE">
      <w:numFmt w:val="decimal"/>
      <w:lvlText w:val=""/>
      <w:lvlJc w:val="left"/>
    </w:lvl>
    <w:lvl w:ilvl="7" w:tplc="A3F0994A">
      <w:numFmt w:val="decimal"/>
      <w:lvlText w:val=""/>
      <w:lvlJc w:val="left"/>
    </w:lvl>
    <w:lvl w:ilvl="8" w:tplc="330CBA5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9"/>
    <w:rsid w:val="00B036C0"/>
    <w:rsid w:val="00C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8278-631F-4132-9E50-8836C7A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kk.gov.tr/" TargetMode="External"/><Relationship Id="rId5" Type="http://schemas.openxmlformats.org/officeDocument/2006/relationships/hyperlink" Target="https://www.thk.edu.tr/storage/public/documents/tiny/12/KVK_Ba&#351;vuruForm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Akın SARPER</cp:lastModifiedBy>
  <cp:revision>2</cp:revision>
  <dcterms:created xsi:type="dcterms:W3CDTF">2020-12-14T13:33:00Z</dcterms:created>
  <dcterms:modified xsi:type="dcterms:W3CDTF">2021-12-27T06:29:00Z</dcterms:modified>
</cp:coreProperties>
</file>